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96" w:lineRule="exact"/>
        <w:ind w:right="0"/>
        <w:jc w:val="center"/>
        <w:rPr>
          <w:rFonts w:hint="eastAsia" w:ascii="方正小标宋简体" w:hAnsi="宋体" w:eastAsia="方正小标宋简体" w:cs="Times New Roman"/>
          <w:b w:val="0"/>
          <w:i w:val="0"/>
          <w:caps w:val="0"/>
          <w:color w:val="000000"/>
          <w:spacing w:val="0"/>
          <w:kern w:val="2"/>
          <w:sz w:val="44"/>
          <w:szCs w:val="44"/>
          <w:shd w:val="clear" w:color="auto" w:fill="auto"/>
        </w:rPr>
      </w:pPr>
      <w:r>
        <w:rPr>
          <w:rFonts w:hint="eastAsia" w:ascii="方正小标宋简体" w:hAnsi="宋体" w:eastAsia="方正小标宋简体" w:cs="Times New Roman"/>
          <w:b w:val="0"/>
          <w:i w:val="0"/>
          <w:caps w:val="0"/>
          <w:color w:val="000000"/>
          <w:spacing w:val="0"/>
          <w:kern w:val="2"/>
          <w:sz w:val="44"/>
          <w:szCs w:val="44"/>
          <w:shd w:val="clear" w:color="auto" w:fill="auto"/>
        </w:rPr>
        <w:t>人力资源社会保障部 教育部 财政部 商务部 国务院国资委 共青团中央 全国工商联</w:t>
      </w:r>
    </w:p>
    <w:p>
      <w:pPr>
        <w:pStyle w:val="5"/>
        <w:widowControl/>
        <w:shd w:val="clear" w:color="auto" w:fill="FFFFFF"/>
        <w:spacing w:beforeAutospacing="0" w:afterAutospacing="0" w:line="596" w:lineRule="exact"/>
        <w:ind w:right="0"/>
        <w:jc w:val="center"/>
        <w:rPr>
          <w:rFonts w:hint="eastAsia" w:ascii="方正小标宋简体" w:hAnsi="宋体" w:eastAsia="方正小标宋简体" w:cs="Times New Roman"/>
          <w:b w:val="0"/>
          <w:i w:val="0"/>
          <w:caps w:val="0"/>
          <w:color w:val="000000"/>
          <w:spacing w:val="0"/>
          <w:kern w:val="2"/>
          <w:sz w:val="44"/>
          <w:szCs w:val="44"/>
          <w:shd w:val="clear" w:color="auto" w:fill="auto"/>
        </w:rPr>
      </w:pPr>
      <w:r>
        <w:rPr>
          <w:rFonts w:hint="eastAsia" w:ascii="方正小标宋简体" w:hAnsi="宋体" w:eastAsia="方正小标宋简体" w:cs="Times New Roman"/>
          <w:b w:val="0"/>
          <w:i w:val="0"/>
          <w:caps w:val="0"/>
          <w:color w:val="000000"/>
          <w:spacing w:val="0"/>
          <w:kern w:val="2"/>
          <w:sz w:val="44"/>
          <w:szCs w:val="44"/>
          <w:shd w:val="clear" w:color="auto" w:fill="auto"/>
        </w:rPr>
        <w:t>关于进一步加强就业见习工作的通知</w:t>
      </w:r>
    </w:p>
    <w:p>
      <w:pPr>
        <w:spacing w:line="560" w:lineRule="exact"/>
        <w:jc w:val="center"/>
        <w:rPr>
          <w:rFonts w:hint="default" w:ascii="仿宋_GB2312" w:hAnsi="宋体" w:eastAsia="仿宋_GB2312" w:cs="Times New Roman"/>
          <w:b w:val="0"/>
          <w:i w:val="0"/>
          <w:caps w:val="0"/>
          <w:color w:val="000000"/>
          <w:spacing w:val="0"/>
          <w:kern w:val="2"/>
          <w:sz w:val="32"/>
          <w:szCs w:val="24"/>
          <w:shd w:val="clear" w:color="auto" w:fill="auto"/>
          <w:lang w:val="en-US" w:eastAsia="zh-CN" w:bidi="ar-SA"/>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bidi="ar-SA"/>
        </w:rPr>
        <w:t>人社部函〔2020〕66号</w:t>
      </w:r>
    </w:p>
    <w:p>
      <w:pPr>
        <w:spacing w:line="560" w:lineRule="exact"/>
        <w:jc w:val="center"/>
        <w:rPr>
          <w:rFonts w:hint="default" w:ascii="仿宋_GB2312" w:hAnsi="宋体" w:eastAsia="仿宋_GB2312" w:cs="Times New Roman"/>
          <w:b w:val="0"/>
          <w:i w:val="0"/>
          <w:caps w:val="0"/>
          <w:color w:val="000000"/>
          <w:spacing w:val="0"/>
          <w:kern w:val="2"/>
          <w:sz w:val="32"/>
          <w:szCs w:val="24"/>
          <w:shd w:val="clear" w:color="auto" w:fill="auto"/>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bidi="ar-SA"/>
        </w:rPr>
        <w:t>各省、自治区、直辖市及新疆生产建</w:t>
      </w:r>
      <w:r>
        <w:rPr>
          <w:rFonts w:hint="default" w:ascii="仿宋_GB2312" w:hAnsi="宋体" w:eastAsia="仿宋_GB2312" w:cs="Times New Roman"/>
          <w:b w:val="0"/>
          <w:i w:val="0"/>
          <w:caps w:val="0"/>
          <w:color w:val="000000"/>
          <w:spacing w:val="0"/>
          <w:kern w:val="2"/>
          <w:sz w:val="32"/>
          <w:szCs w:val="24"/>
          <w:shd w:val="clear" w:color="auto" w:fill="auto"/>
        </w:rPr>
        <w:t>设兵团人力资源社会保障厅（局）、教育厅（委、局）、财政厅（局）、商务厅（局）、国资委、团委、工商联：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就业见习是帮助青年人积累实践经验、增强就业能力的重要手段。为贯彻落实《国务院办公厅关于应对新冠肺炎疫情影响强化稳就业举措的实施意见》（国办发〔2020〕6号），扩大见习规模，提高见习质量，把有需求的青年都组织到见习活动中，现就有关工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eastAsia" w:ascii="黑体" w:hAnsi="黑体" w:eastAsia="黑体" w:cs="黑体"/>
          <w:b w:val="0"/>
          <w:i w:val="0"/>
          <w:caps w:val="0"/>
          <w:color w:val="000000"/>
          <w:spacing w:val="0"/>
          <w:kern w:val="2"/>
          <w:sz w:val="32"/>
          <w:szCs w:val="24"/>
          <w:shd w:val="clear" w:color="auto" w:fill="auto"/>
        </w:rPr>
        <w:t>一、把握见习政策要求。</w:t>
      </w:r>
      <w:r>
        <w:rPr>
          <w:rFonts w:hint="default" w:ascii="仿宋_GB2312" w:hAnsi="宋体" w:eastAsia="仿宋_GB2312" w:cs="Times New Roman"/>
          <w:b w:val="0"/>
          <w:i w:val="0"/>
          <w:caps w:val="0"/>
          <w:color w:val="000000"/>
          <w:spacing w:val="0"/>
          <w:kern w:val="2"/>
          <w:sz w:val="32"/>
          <w:szCs w:val="24"/>
          <w:shd w:val="clear" w:color="auto" w:fill="auto"/>
        </w:rPr>
        <w:t>就业见习是组织青年进行岗位实践锻炼的就业准备活动。见习对象为离校2年内未就业高校毕业生、16-24岁失业青年，见习时间为3至12个月，期间由见习单位给予基本生活费，办理人身意外伤害保险。对吸纳见习的单位，按规定给予就业见习补贴，因疫情见习中断的，相应延长补贴期限。各地要准确把握政策内涵，制定见习政策清单，精简申请材料，优化兑现流程，确保今明两年见习规模持续扩大，最大程度发挥就业见习稳定就业、促进就业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二、加强见习单位管理。</w:t>
      </w:r>
      <w:r>
        <w:rPr>
          <w:rFonts w:hint="default" w:ascii="仿宋_GB2312" w:hAnsi="宋体" w:eastAsia="仿宋_GB2312" w:cs="Times New Roman"/>
          <w:b w:val="0"/>
          <w:i w:val="0"/>
          <w:caps w:val="0"/>
          <w:color w:val="000000"/>
          <w:spacing w:val="0"/>
          <w:kern w:val="2"/>
          <w:sz w:val="32"/>
          <w:szCs w:val="24"/>
          <w:shd w:val="clear" w:color="auto" w:fill="auto"/>
        </w:rPr>
        <w:t>根据本地产业发展、行业特色和青年意愿，积极确定一批就业见习单位，稳定持续提供见习岗位。鼓励依托国家级经济技术开发区和各级开发区、产业园、科技园等，发挥产业资源集聚优势，拓展见习单位。做好见习单位动态管理，定期跟进见习开展情况，对超过一年未提供见习岗位、未开展见习活动的及时清退。加强就业见习示范单位建设，选树一批岗位质量高、吸纳人员多、见习成效好的典型，发挥引领带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三、扩大岗位募集规模。</w:t>
      </w:r>
      <w:r>
        <w:rPr>
          <w:rFonts w:hint="default" w:ascii="仿宋_GB2312" w:hAnsi="宋体" w:eastAsia="仿宋_GB2312" w:cs="Times New Roman"/>
          <w:b w:val="0"/>
          <w:i w:val="0"/>
          <w:caps w:val="0"/>
          <w:color w:val="000000"/>
          <w:spacing w:val="0"/>
          <w:kern w:val="2"/>
          <w:sz w:val="32"/>
          <w:szCs w:val="24"/>
          <w:shd w:val="clear" w:color="auto" w:fill="auto"/>
        </w:rPr>
        <w:t>做足岗位储备，按照多元募集、量质并重的原则，大力募集一批就业见习岗位，做到今明两年见习岗位总量不低于上年。丰富岗位来源，通过民营企业募集一批、国有企业征集一批、事业单位提供一批、社会组织收集一批、政府投资项目挖掘一批、科研项目开发一批，满足青年多元见习需求。增强岗位吸引力，通过政策激励和主动挖掘，募集一批互联网、金融、教育医疗、公共管理等现代服务业，以及5G、半导体、新能源等高端制造业企业见习岗位。提升岗位质量，更多募集管理、技术、科研类岗位，更好发挥高校毕业生等青年所学所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四、摸清见习对象情况。</w:t>
      </w:r>
      <w:r>
        <w:rPr>
          <w:rFonts w:hint="default" w:ascii="仿宋_GB2312" w:hAnsi="宋体" w:eastAsia="仿宋_GB2312" w:cs="Times New Roman"/>
          <w:b w:val="0"/>
          <w:i w:val="0"/>
          <w:caps w:val="0"/>
          <w:color w:val="000000"/>
          <w:spacing w:val="0"/>
          <w:kern w:val="2"/>
          <w:sz w:val="32"/>
          <w:szCs w:val="24"/>
          <w:shd w:val="clear" w:color="auto" w:fill="auto"/>
        </w:rPr>
        <w:t>开通线上线下见习报名渠道，简化报名手续，及时登记有意参加见习人员信息。在每年7月份高校毕业生离校时，同步启动信息衔接和登记摸排，掌握有见习需求的未就业毕业生信息，及早锁定见习对象。全面打开失业登记渠道，对辖区内失业人员逐一摸底，把符合条件的失业青年纳入见习范围。健全见习对象信息库，记载个人基本信息、学历层次、技能水平、求职意愿等情况，方便后续提供针对性见习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　五、促进见习供需对接。</w:t>
      </w:r>
      <w:r>
        <w:rPr>
          <w:rFonts w:hint="default" w:ascii="仿宋_GB2312" w:hAnsi="宋体" w:eastAsia="仿宋_GB2312" w:cs="Times New Roman"/>
          <w:b w:val="0"/>
          <w:i w:val="0"/>
          <w:caps w:val="0"/>
          <w:color w:val="000000"/>
          <w:spacing w:val="0"/>
          <w:kern w:val="2"/>
          <w:sz w:val="32"/>
          <w:szCs w:val="24"/>
          <w:shd w:val="clear" w:color="auto" w:fill="auto"/>
        </w:rPr>
        <w:t>制定见习单位目录和岗位清单，通过部门网站、各类媒体、公共就业人才服务平台等渠道，及时向社会公布。开展见习岗位进校园、进社区、进市场，集中举办见习专场招募、双向选择洽谈等活动，并在各类招聘会中同步推出见习岗位，多方搭建见习对接平台。有条件的地方可依托就业服务信息化平台，设立网上见习专区，提供见习信息发布、见习单位申报、见习报名对接等一体化服务。见习岗位不得通过考试竞争选拔等方式设置门槛，确保有需要的都能得到见习机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六、完善见习管理制度。</w:t>
      </w:r>
      <w:r>
        <w:rPr>
          <w:rFonts w:hint="default" w:ascii="仿宋_GB2312" w:hAnsi="宋体" w:eastAsia="仿宋_GB2312" w:cs="Times New Roman"/>
          <w:b w:val="0"/>
          <w:i w:val="0"/>
          <w:caps w:val="0"/>
          <w:color w:val="000000"/>
          <w:spacing w:val="0"/>
          <w:kern w:val="2"/>
          <w:sz w:val="32"/>
          <w:szCs w:val="24"/>
          <w:shd w:val="clear" w:color="auto" w:fill="auto"/>
        </w:rPr>
        <w:t>规范见习组织实施，把握正常用工和就业见习之间关系。指导见习单位建立带教制度，委派实践经验丰富、业务素质好、责任心强的技术或管理人员作为带教老师，帮助见习人员熟悉岗位内容、提升工作能力。做好见习工作评估，定期检查地方见习组织实施、岗位募集、制度执行、政策落实和见习实效等情况，健全就业见习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七、保障见习人员待遇。</w:t>
      </w:r>
      <w:r>
        <w:rPr>
          <w:rFonts w:hint="default" w:ascii="仿宋_GB2312" w:hAnsi="宋体" w:eastAsia="仿宋_GB2312" w:cs="Times New Roman"/>
          <w:b w:val="0"/>
          <w:i w:val="0"/>
          <w:caps w:val="0"/>
          <w:color w:val="000000"/>
          <w:spacing w:val="0"/>
          <w:kern w:val="2"/>
          <w:sz w:val="32"/>
          <w:szCs w:val="24"/>
          <w:shd w:val="clear" w:color="auto" w:fill="auto"/>
        </w:rPr>
        <w:t>做好见习人员全程服务，指导签订见习协议，帮助维护合法权益，努力提高见习质量。鼓励见习单位留用见习期满人员。对见习后未留用人员做好后续就业帮扶，持续提供岗位信息、职业指导等服务，促进尽快实现就业。指导见习单位适当提高见习人员基本生活费，力争不低于当地最低工资。鼓励有条件的地方或用人单位，为见习人员购买附加险种，提高见习保障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八、加大见习宣传推广。</w:t>
      </w:r>
      <w:r>
        <w:rPr>
          <w:rFonts w:hint="default" w:ascii="仿宋_GB2312" w:hAnsi="宋体" w:eastAsia="仿宋_GB2312" w:cs="Times New Roman"/>
          <w:b w:val="0"/>
          <w:i w:val="0"/>
          <w:caps w:val="0"/>
          <w:color w:val="000000"/>
          <w:spacing w:val="0"/>
          <w:kern w:val="2"/>
          <w:sz w:val="32"/>
          <w:szCs w:val="24"/>
          <w:shd w:val="clear" w:color="auto" w:fill="auto"/>
        </w:rPr>
        <w:t>强化政策普及，充分利用电视、微博微信、短视频等宣传载体，广泛宣传见习制度和参与渠道，扩大社会知晓度和影响力。实施定向宣传，在青年聚集的高校、社区开展政策宣讲，在见习对象经办业务时同步宣传政策内容，确保有需求的应知尽知。加大典型示范，大力宣传一批青年通过见习提升能力、成功就业的故事，宣传见习单位履行社会责任的良好形象，引导更多青年和用人单位主动参与见习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　　</w:t>
      </w:r>
      <w:r>
        <w:rPr>
          <w:rFonts w:hint="default" w:ascii="黑体" w:hAnsi="黑体" w:eastAsia="黑体" w:cs="黑体"/>
          <w:b w:val="0"/>
          <w:i w:val="0"/>
          <w:caps w:val="0"/>
          <w:color w:val="000000"/>
          <w:spacing w:val="0"/>
          <w:kern w:val="2"/>
          <w:sz w:val="32"/>
          <w:szCs w:val="24"/>
          <w:shd w:val="clear" w:color="auto" w:fill="auto"/>
        </w:rPr>
        <w:t>九、加强工作组织领导。</w:t>
      </w:r>
      <w:r>
        <w:rPr>
          <w:rFonts w:hint="default" w:ascii="仿宋_GB2312" w:hAnsi="宋体" w:eastAsia="仿宋_GB2312" w:cs="Times New Roman"/>
          <w:b w:val="0"/>
          <w:i w:val="0"/>
          <w:caps w:val="0"/>
          <w:color w:val="000000"/>
          <w:spacing w:val="0"/>
          <w:kern w:val="2"/>
          <w:sz w:val="32"/>
          <w:szCs w:val="24"/>
          <w:shd w:val="clear" w:color="auto" w:fill="auto"/>
        </w:rPr>
        <w:t>各地要将就业见习作为促进青年就业的重要举措，纳入稳就业工作整体安排，加强部门协同，加大督促指导，合力推进实施，确保完成见习规模扩大任务。人力资源社会保障部门要加强工作统筹协调，做好见习单位认定、岗位募集和管理服务工作，指导推动事业单位提供见习岗位。教育部门要加强校内见习政策宣传，向有需求的毕业生推荐见习信息。财政部门要统筹就业补助资金等相关渠道，保障见习政策落实。商务部门要指导经济技术开发区集中推荐一批优质见习单位。国有资产监督管理部门要指导国有企业设立见习岗位。共青团要发挥组织优势，动员失业青年参加见习，推荐一批企业为见习单位。工商联要推荐一批经营稳定、信誉良好的民营企业作为见习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rPr>
      </w:pPr>
      <w:r>
        <w:rPr>
          <w:rFonts w:hint="default" w:ascii="仿宋_GB2312" w:hAnsi="宋体" w:eastAsia="仿宋_GB2312" w:cs="Times New Roman"/>
          <w:b w:val="0"/>
          <w:i w:val="0"/>
          <w:caps w:val="0"/>
          <w:color w:val="000000"/>
          <w:spacing w:val="0"/>
          <w:kern w:val="2"/>
          <w:sz w:val="32"/>
          <w:szCs w:val="24"/>
          <w:shd w:val="clear" w:color="auto" w:fill="auto"/>
        </w:rPr>
        <w:t>各地人力资源社会保障部门每月汇总各方情况后，填报《青年就业见习工作情况汇总表》（见附件），于下月前5个工作日内报人力资源社会保障部全国人才流动中心，并于每年年底报送当年见习工作实施情况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eastAsia="zh-CN"/>
        </w:rPr>
      </w:pPr>
      <w:r>
        <w:rPr>
          <w:rFonts w:hint="default" w:ascii="仿宋_GB2312" w:hAnsi="宋体" w:eastAsia="仿宋_GB2312" w:cs="Times New Roman"/>
          <w:b w:val="0"/>
          <w:i w:val="0"/>
          <w:caps w:val="0"/>
          <w:color w:val="000000"/>
          <w:spacing w:val="0"/>
          <w:kern w:val="2"/>
          <w:sz w:val="32"/>
          <w:szCs w:val="24"/>
          <w:shd w:val="clear" w:color="auto" w:fill="auto"/>
          <w:lang w:eastAsia="zh-CN"/>
        </w:rPr>
        <w:t>联系人及联系方式：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rPr>
        <w:t>人力资源社会保障部</w:t>
      </w:r>
      <w:r>
        <w:rPr>
          <w:rFonts w:hint="default" w:ascii="仿宋_GB2312" w:hAnsi="宋体" w:eastAsia="仿宋_GB2312" w:cs="Times New Roman"/>
          <w:b w:val="0"/>
          <w:i w:val="0"/>
          <w:caps w:val="0"/>
          <w:color w:val="000000"/>
          <w:spacing w:val="0"/>
          <w:kern w:val="2"/>
          <w:sz w:val="32"/>
          <w:szCs w:val="24"/>
          <w:shd w:val="clear" w:color="auto" w:fill="auto"/>
          <w:lang w:eastAsia="zh-CN"/>
        </w:rPr>
        <w:t>就业促进司</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联系人：范淼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电  话：010-84202538</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eastAsia="zh-CN"/>
        </w:rPr>
      </w:pPr>
      <w:r>
        <w:rPr>
          <w:rFonts w:hint="default" w:ascii="仿宋_GB2312" w:hAnsi="宋体" w:eastAsia="仿宋_GB2312" w:cs="Times New Roman"/>
          <w:b w:val="0"/>
          <w:i w:val="0"/>
          <w:caps w:val="0"/>
          <w:color w:val="000000"/>
          <w:spacing w:val="0"/>
          <w:kern w:val="2"/>
          <w:sz w:val="32"/>
          <w:szCs w:val="24"/>
          <w:shd w:val="clear" w:color="auto" w:fill="auto"/>
        </w:rPr>
        <w:t>人力资源社会保障部</w:t>
      </w:r>
      <w:r>
        <w:rPr>
          <w:rFonts w:hint="default" w:ascii="仿宋_GB2312" w:hAnsi="宋体" w:eastAsia="仿宋_GB2312" w:cs="Times New Roman"/>
          <w:b w:val="0"/>
          <w:i w:val="0"/>
          <w:caps w:val="0"/>
          <w:color w:val="000000"/>
          <w:spacing w:val="0"/>
          <w:kern w:val="2"/>
          <w:sz w:val="32"/>
          <w:szCs w:val="24"/>
          <w:shd w:val="clear" w:color="auto" w:fill="auto"/>
          <w:lang w:eastAsia="zh-CN"/>
        </w:rPr>
        <w:t>全国人才流动中心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eastAsia="zh-CN"/>
        </w:rPr>
        <w:t>联系人：王筱源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电  话：010-64225262  64229135（传真）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textAlignment w:val="auto"/>
        <w:outlineLvl w:val="9"/>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电子邮</w:t>
      </w:r>
      <w:r>
        <w:rPr>
          <w:rFonts w:hint="eastAsia" w:ascii="仿宋_GB2312" w:hAnsi="宋体" w:cs="Times New Roman"/>
          <w:b w:val="0"/>
          <w:i w:val="0"/>
          <w:caps w:val="0"/>
          <w:spacing w:val="0"/>
          <w:kern w:val="2"/>
          <w:sz w:val="32"/>
          <w:szCs w:val="24"/>
          <w:shd w:val="clear" w:color="auto" w:fill="auto"/>
          <w:lang w:val="en-US" w:eastAsia="zh-CN"/>
        </w:rPr>
        <w:t>件</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fldChar w:fldCharType="begin"/>
      </w:r>
      <w:r>
        <w:rPr>
          <w:rFonts w:hint="default" w:ascii="仿宋_GB2312" w:hAnsi="宋体" w:eastAsia="仿宋_GB2312" w:cs="Times New Roman"/>
          <w:b w:val="0"/>
          <w:i w:val="0"/>
          <w:caps w:val="0"/>
          <w:color w:val="000000"/>
          <w:spacing w:val="0"/>
          <w:kern w:val="2"/>
          <w:sz w:val="32"/>
          <w:szCs w:val="24"/>
          <w:shd w:val="clear" w:color="auto" w:fill="auto"/>
          <w:lang w:val="en-US" w:eastAsia="zh-CN"/>
        </w:rPr>
        <w:instrText xml:space="preserve"> HYPERLINK "mailto:jiuyejianxi300@163.com" </w:instrText>
      </w:r>
      <w:r>
        <w:rPr>
          <w:rFonts w:hint="default" w:ascii="仿宋_GB2312" w:hAnsi="宋体" w:eastAsia="仿宋_GB2312" w:cs="Times New Roman"/>
          <w:b w:val="0"/>
          <w:i w:val="0"/>
          <w:caps w:val="0"/>
          <w:color w:val="000000"/>
          <w:spacing w:val="0"/>
          <w:kern w:val="2"/>
          <w:sz w:val="32"/>
          <w:szCs w:val="24"/>
          <w:shd w:val="clear" w:color="auto" w:fill="auto"/>
          <w:lang w:val="en-US" w:eastAsia="zh-CN"/>
        </w:rPr>
        <w:fldChar w:fldCharType="separate"/>
      </w:r>
      <w:r>
        <w:rPr>
          <w:rFonts w:hint="default" w:ascii="仿宋_GB2312" w:hAnsi="宋体" w:eastAsia="仿宋_GB2312" w:cs="Times New Roman"/>
          <w:b w:val="0"/>
          <w:i w:val="0"/>
          <w:caps w:val="0"/>
          <w:color w:val="000000"/>
          <w:spacing w:val="0"/>
          <w:kern w:val="2"/>
          <w:sz w:val="32"/>
          <w:szCs w:val="24"/>
          <w:shd w:val="clear" w:color="auto" w:fill="auto"/>
          <w:lang w:val="en-US" w:eastAsia="zh-CN"/>
        </w:rPr>
        <w:t>jiuyejianxi300@163.com</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fldChar w:fldCharType="end"/>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rPr>
          <w:rFonts w:hint="default" w:ascii="仿宋_GB2312" w:hAnsi="宋体" w:eastAsia="仿宋_GB2312" w:cs="Times New Roman"/>
          <w:b w:val="0"/>
          <w:i w:val="0"/>
          <w:caps w:val="0"/>
          <w:color w:val="000000"/>
          <w:spacing w:val="0"/>
          <w:kern w:val="2"/>
          <w:sz w:val="32"/>
          <w:szCs w:val="24"/>
          <w:shd w:val="clear" w:color="auto" w:fill="auto"/>
          <w:lang w:val="en-US" w:eastAsia="zh-C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rPr>
          <w:rFonts w:hint="default" w:ascii="仿宋_GB2312" w:hAnsi="宋体" w:eastAsia="仿宋_GB2312" w:cs="Times New Roman"/>
          <w:b w:val="0"/>
          <w:i w:val="0"/>
          <w:caps w:val="0"/>
          <w:color w:val="000000"/>
          <w:spacing w:val="0"/>
          <w:kern w:val="2"/>
          <w:sz w:val="32"/>
          <w:szCs w:val="24"/>
          <w:shd w:val="clear" w:color="auto" w:fill="auto"/>
          <w:lang w:eastAsia="zh-CN"/>
        </w:rPr>
      </w:pPr>
      <w:r>
        <w:rPr>
          <w:rFonts w:hint="default" w:ascii="仿宋_GB2312" w:hAnsi="宋体" w:eastAsia="仿宋_GB2312" w:cs="Times New Roman"/>
          <w:b w:val="0"/>
          <w:i w:val="0"/>
          <w:caps w:val="0"/>
          <w:color w:val="000000"/>
          <w:spacing w:val="0"/>
          <w:kern w:val="2"/>
          <w:sz w:val="32"/>
          <w:szCs w:val="24"/>
          <w:shd w:val="clear" w:color="auto" w:fill="auto"/>
        </w:rPr>
        <w:t>附件：</w:t>
      </w:r>
      <w:r>
        <w:rPr>
          <w:rFonts w:hint="default" w:ascii="仿宋_GB2312" w:hAnsi="宋体" w:eastAsia="仿宋_GB2312" w:cs="Times New Roman"/>
          <w:b w:val="0"/>
          <w:i w:val="0"/>
          <w:caps w:val="0"/>
          <w:color w:val="000000"/>
          <w:spacing w:val="0"/>
          <w:kern w:val="2"/>
          <w:sz w:val="32"/>
          <w:szCs w:val="24"/>
          <w:shd w:val="clear" w:color="auto" w:fill="auto"/>
          <w:lang w:eastAsia="zh-CN"/>
        </w:rPr>
        <w:t>青年就业见习工作情况汇总表</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rPr>
          <w:rFonts w:hint="default" w:ascii="仿宋_GB2312" w:hAnsi="宋体" w:eastAsia="仿宋_GB2312" w:cs="Times New Roman"/>
          <w:b w:val="0"/>
          <w:i w:val="0"/>
          <w:caps w:val="0"/>
          <w:color w:val="000000"/>
          <w:spacing w:val="0"/>
          <w:kern w:val="2"/>
          <w:sz w:val="32"/>
          <w:szCs w:val="24"/>
          <w:shd w:val="clear" w:color="auto" w:fill="auto"/>
          <w:lang w:eastAsia="zh-C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00" w:lineRule="exact"/>
        <w:ind w:right="0" w:firstLine="640" w:firstLineChars="200"/>
        <w:jc w:val="left"/>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00" w:lineRule="exact"/>
        <w:ind w:right="0" w:firstLine="640" w:firstLineChars="200"/>
        <w:jc w:val="left"/>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人力资源社会保障部</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rPr>
        <w:t>教育部</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firstLineChars="200"/>
        <w:jc w:val="both"/>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firstLineChars="200"/>
        <w:jc w:val="both"/>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960" w:firstLineChars="300"/>
        <w:jc w:val="both"/>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财政部</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eastAsia" w:ascii="仿宋_GB2312" w:hAnsi="宋体"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eastAsia" w:ascii="仿宋_GB2312" w:hAnsi="宋体"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rPr>
        <w:t>商务部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00" w:lineRule="exact"/>
        <w:ind w:left="0" w:right="0" w:firstLine="640" w:firstLineChars="200"/>
        <w:jc w:val="left"/>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00" w:lineRule="exact"/>
        <w:ind w:left="0" w:right="0" w:firstLine="640" w:firstLineChars="200"/>
        <w:jc w:val="left"/>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00" w:lineRule="exact"/>
        <w:ind w:left="0" w:right="0" w:firstLine="640" w:firstLineChars="200"/>
        <w:jc w:val="left"/>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rPr>
        <w:t>国务院国资委</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eastAsia" w:ascii="仿宋_GB2312" w:hAnsi="宋体"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eastAsia" w:ascii="仿宋_GB2312" w:hAnsi="宋体"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rPr>
        <w:t>共青团中央</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0"/>
        <w:jc w:val="center"/>
        <w:rPr>
          <w:rFonts w:hint="default" w:ascii="仿宋_GB2312" w:hAnsi="宋体" w:eastAsia="仿宋_GB2312" w:cs="Times New Roman"/>
          <w:b w:val="0"/>
          <w:i w:val="0"/>
          <w:caps w:val="0"/>
          <w:color w:val="000000"/>
          <w:spacing w:val="0"/>
          <w:kern w:val="2"/>
          <w:sz w:val="32"/>
          <w:szCs w:val="24"/>
          <w:shd w:val="clear" w:color="auto" w:fill="auto"/>
          <w:lang w:val="en-US" w:eastAsia="zh-CN"/>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0"/>
        <w:jc w:val="center"/>
        <w:rPr>
          <w:rFonts w:hint="default" w:ascii="仿宋_GB2312" w:hAnsi="宋体" w:eastAsia="仿宋_GB2312" w:cs="Times New Roman"/>
          <w:b w:val="0"/>
          <w:i w:val="0"/>
          <w:caps w:val="0"/>
          <w:color w:val="000000"/>
          <w:spacing w:val="0"/>
          <w:kern w:val="2"/>
          <w:sz w:val="32"/>
          <w:szCs w:val="24"/>
          <w:shd w:val="clear" w:color="auto" w:fill="auto"/>
          <w:lang w:val="en-US" w:eastAsia="zh-CN"/>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0"/>
        <w:jc w:val="center"/>
        <w:rPr>
          <w:rFonts w:hint="default" w:ascii="仿宋_GB2312" w:hAnsi="宋体" w:eastAsia="仿宋_GB2312" w:cs="Times New Roman"/>
          <w:b w:val="0"/>
          <w:i w:val="0"/>
          <w:caps w:val="0"/>
          <w:color w:val="000000"/>
          <w:spacing w:val="0"/>
          <w:kern w:val="2"/>
          <w:sz w:val="32"/>
          <w:szCs w:val="24"/>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rPr>
        <w:t>全国工商联</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0"/>
        <w:jc w:val="center"/>
        <w:rPr>
          <w:rFonts w:hint="default" w:ascii="仿宋_GB2312" w:hAnsi="宋体" w:eastAsia="仿宋_GB2312" w:cs="Times New Roman"/>
          <w:b w:val="0"/>
          <w:i w:val="0"/>
          <w:caps w:val="0"/>
          <w:color w:val="000000"/>
          <w:spacing w:val="0"/>
          <w:kern w:val="2"/>
          <w:sz w:val="32"/>
          <w:szCs w:val="24"/>
          <w:shd w:val="clear" w:color="auto" w:fill="auto"/>
        </w:rPr>
      </w:pPr>
      <w:r>
        <w:rPr>
          <w:rFonts w:hint="default" w:ascii="仿宋_GB2312" w:hAnsi="宋体" w:eastAsia="仿宋_GB2312" w:cs="Times New Roman"/>
          <w:b w:val="0"/>
          <w:i w:val="0"/>
          <w:caps w:val="0"/>
          <w:color w:val="000000"/>
          <w:spacing w:val="0"/>
          <w:kern w:val="2"/>
          <w:sz w:val="32"/>
          <w:szCs w:val="24"/>
          <w:shd w:val="clear" w:color="auto" w:fill="auto"/>
          <w:lang w:val="en-US" w:eastAsia="zh-CN"/>
        </w:rPr>
        <w:t xml:space="preserve">                           </w:t>
      </w:r>
      <w:r>
        <w:rPr>
          <w:rFonts w:hint="default" w:ascii="仿宋_GB2312" w:hAnsi="宋体" w:eastAsia="仿宋_GB2312" w:cs="Times New Roman"/>
          <w:b w:val="0"/>
          <w:i w:val="0"/>
          <w:caps w:val="0"/>
          <w:color w:val="000000"/>
          <w:spacing w:val="0"/>
          <w:kern w:val="2"/>
          <w:sz w:val="32"/>
          <w:szCs w:val="24"/>
          <w:shd w:val="clear" w:color="auto" w:fill="auto"/>
        </w:rPr>
        <w:t>2020年7月8日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0"/>
        <w:jc w:val="center"/>
        <w:rPr>
          <w:rFonts w:hint="default" w:ascii="仿宋_GB2312" w:hAnsi="宋体" w:eastAsia="仿宋_GB2312" w:cs="Times New Roman"/>
          <w:b w:val="0"/>
          <w:i w:val="0"/>
          <w:caps w:val="0"/>
          <w:color w:val="000000"/>
          <w:spacing w:val="0"/>
          <w:kern w:val="2"/>
          <w:sz w:val="32"/>
          <w:szCs w:val="24"/>
          <w:shd w:val="clear" w:color="auto" w:fill="auto"/>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00" w:lineRule="exact"/>
        <w:ind w:left="0" w:right="0" w:firstLine="640" w:firstLineChars="200"/>
        <w:jc w:val="both"/>
        <w:rPr>
          <w:rFonts w:hint="default" w:ascii="仿宋_GB2312" w:hAnsi="宋体" w:eastAsia="仿宋_GB2312" w:cs="Times New Roman"/>
          <w:b w:val="0"/>
          <w:i w:val="0"/>
          <w:caps w:val="0"/>
          <w:color w:val="000000"/>
          <w:spacing w:val="0"/>
          <w:kern w:val="2"/>
          <w:sz w:val="32"/>
          <w:szCs w:val="24"/>
          <w:shd w:val="clear" w:color="auto" w:fill="auto"/>
          <w:lang w:eastAsia="zh-CN"/>
        </w:rPr>
        <w:sectPr>
          <w:footerReference r:id="rId3" w:type="default"/>
          <w:pgSz w:w="11906" w:h="16838"/>
          <w:pgMar w:top="2154" w:right="1531" w:bottom="1984" w:left="1587" w:header="851" w:footer="1361" w:gutter="0"/>
          <w:pgNumType w:fmt="numberInDash" w:start="2"/>
          <w:cols w:space="720" w:num="1"/>
          <w:rtlGutter w:val="0"/>
          <w:docGrid w:type="lines" w:linePitch="437" w:charSpace="0"/>
        </w:sectPr>
      </w:pPr>
      <w:r>
        <w:rPr>
          <w:rFonts w:hint="default" w:ascii="仿宋_GB2312" w:hAnsi="宋体" w:eastAsia="仿宋_GB2312" w:cs="Times New Roman"/>
          <w:b w:val="0"/>
          <w:i w:val="0"/>
          <w:caps w:val="0"/>
          <w:color w:val="000000"/>
          <w:spacing w:val="0"/>
          <w:kern w:val="2"/>
          <w:sz w:val="32"/>
          <w:szCs w:val="24"/>
          <w:shd w:val="clear" w:color="auto" w:fill="auto"/>
          <w:lang w:eastAsia="zh-CN"/>
        </w:rPr>
        <w:t>（联系单位：</w:t>
      </w:r>
      <w:r>
        <w:rPr>
          <w:rFonts w:hint="default" w:ascii="仿宋_GB2312" w:hAnsi="宋体" w:eastAsia="仿宋_GB2312" w:cs="Times New Roman"/>
          <w:b w:val="0"/>
          <w:i w:val="0"/>
          <w:caps w:val="0"/>
          <w:color w:val="000000"/>
          <w:spacing w:val="0"/>
          <w:kern w:val="2"/>
          <w:sz w:val="32"/>
          <w:szCs w:val="24"/>
          <w:shd w:val="clear" w:color="auto" w:fill="auto"/>
        </w:rPr>
        <w:t>人力资源社会保障部</w:t>
      </w:r>
      <w:r>
        <w:rPr>
          <w:rFonts w:hint="default" w:ascii="仿宋_GB2312" w:hAnsi="宋体" w:eastAsia="仿宋_GB2312" w:cs="Times New Roman"/>
          <w:b w:val="0"/>
          <w:i w:val="0"/>
          <w:caps w:val="0"/>
          <w:color w:val="000000"/>
          <w:spacing w:val="0"/>
          <w:kern w:val="2"/>
          <w:sz w:val="32"/>
          <w:szCs w:val="24"/>
          <w:shd w:val="clear" w:color="auto" w:fill="auto"/>
          <w:lang w:eastAsia="zh-CN"/>
        </w:rPr>
        <w:t>就业促进司）</w:t>
      </w:r>
    </w:p>
    <w:p>
      <w:pPr>
        <w:pStyle w:val="5"/>
        <w:widowControl/>
        <w:shd w:val="clear" w:color="auto" w:fill="FFFFFF"/>
        <w:spacing w:beforeAutospacing="0" w:afterAutospacing="0" w:line="540" w:lineRule="atLeast"/>
        <w:ind w:right="120"/>
        <w:rPr>
          <w:rFonts w:hint="eastAsia" w:ascii="黑体" w:hAnsi="黑体" w:eastAsia="黑体" w:cs="黑体"/>
          <w:b w:val="0"/>
          <w:bCs/>
          <w:i w:val="0"/>
          <w:caps w:val="0"/>
          <w:color w:val="000000"/>
          <w:spacing w:val="0"/>
          <w:sz w:val="32"/>
          <w:szCs w:val="32"/>
          <w:shd w:val="clear" w:color="auto" w:fill="FFFFFF"/>
          <w:lang w:eastAsia="zh-CN"/>
        </w:rPr>
      </w:pPr>
      <w:r>
        <w:rPr>
          <w:rFonts w:hint="eastAsia" w:ascii="黑体" w:hAnsi="黑体" w:eastAsia="黑体" w:cs="黑体"/>
          <w:b w:val="0"/>
          <w:bCs/>
          <w:i w:val="0"/>
          <w:caps w:val="0"/>
          <w:color w:val="000000"/>
          <w:spacing w:val="0"/>
          <w:sz w:val="32"/>
          <w:szCs w:val="32"/>
          <w:shd w:val="clear" w:color="auto" w:fill="FFFFFF"/>
          <w:lang w:eastAsia="zh-CN"/>
        </w:rPr>
        <w:t>附件</w:t>
      </w:r>
    </w:p>
    <w:tbl>
      <w:tblPr>
        <w:tblStyle w:val="6"/>
        <w:tblpPr w:leftFromText="180" w:rightFromText="180" w:vertAnchor="text" w:horzAnchor="page" w:tblpX="341" w:tblpY="1882"/>
        <w:tblOverlap w:val="never"/>
        <w:tblW w:w="0" w:type="auto"/>
        <w:tblInd w:w="0" w:type="dxa"/>
        <w:tblLayout w:type="fixed"/>
        <w:tblCellMar>
          <w:top w:w="0" w:type="dxa"/>
          <w:left w:w="0" w:type="dxa"/>
          <w:bottom w:w="0" w:type="dxa"/>
          <w:right w:w="0" w:type="dxa"/>
        </w:tblCellMar>
      </w:tblPr>
      <w:tblGrid>
        <w:gridCol w:w="1072"/>
        <w:gridCol w:w="774"/>
        <w:gridCol w:w="967"/>
        <w:gridCol w:w="992"/>
        <w:gridCol w:w="1424"/>
        <w:gridCol w:w="1060"/>
        <w:gridCol w:w="695"/>
        <w:gridCol w:w="1444"/>
        <w:gridCol w:w="850"/>
        <w:gridCol w:w="791"/>
        <w:gridCol w:w="1422"/>
        <w:gridCol w:w="1181"/>
        <w:gridCol w:w="1101"/>
        <w:gridCol w:w="1076"/>
        <w:gridCol w:w="1211"/>
      </w:tblGrid>
      <w:tr>
        <w:tblPrEx>
          <w:tblCellMar>
            <w:top w:w="0" w:type="dxa"/>
            <w:left w:w="0" w:type="dxa"/>
            <w:bottom w:w="0" w:type="dxa"/>
            <w:right w:w="0" w:type="dxa"/>
          </w:tblCellMar>
        </w:tblPrEx>
        <w:trPr>
          <w:trHeight w:val="653" w:hRule="atLeast"/>
        </w:trPr>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w:t>
            </w:r>
          </w:p>
        </w:tc>
        <w:tc>
          <w:tcPr>
            <w:tcW w:w="774"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本期末实有见习单位总数</w:t>
            </w:r>
          </w:p>
        </w:tc>
        <w:tc>
          <w:tcPr>
            <w:tcW w:w="967" w:type="dxa"/>
            <w:tcBorders>
              <w:top w:val="single" w:color="000000" w:sz="4" w:space="0"/>
              <w:left w:val="nil"/>
              <w:bottom w:val="nil"/>
              <w:right w:val="single" w:color="000000" w:sz="4" w:space="0"/>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992"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 xml:space="preserve">                        本期末实有见习岗位总数</w:t>
            </w:r>
          </w:p>
        </w:tc>
        <w:tc>
          <w:tcPr>
            <w:tcW w:w="1424" w:type="dxa"/>
            <w:tcBorders>
              <w:top w:val="single" w:color="000000" w:sz="4" w:space="0"/>
              <w:left w:val="nil"/>
              <w:bottom w:val="nil"/>
              <w:right w:val="single" w:color="000000" w:sz="4" w:space="0"/>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本期计划组织见习人数</w:t>
            </w:r>
          </w:p>
        </w:tc>
        <w:tc>
          <w:tcPr>
            <w:tcW w:w="2139"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本期实际到岗</w:t>
            </w:r>
            <w:r>
              <w:rPr>
                <w:rFonts w:hint="eastAsia" w:ascii="仿宋_GB2312" w:hAnsi="宋体" w:eastAsia="仿宋_GB2312" w:cs="仿宋_GB2312"/>
                <w:i w:val="0"/>
                <w:color w:val="000000"/>
                <w:kern w:val="0"/>
                <w:sz w:val="28"/>
                <w:szCs w:val="28"/>
                <w:u w:val="none"/>
                <w:lang w:val="en-US" w:eastAsia="zh-CN" w:bidi="ar"/>
              </w:rPr>
              <w:t xml:space="preserve">  </w:t>
            </w:r>
            <w:r>
              <w:rPr>
                <w:rFonts w:hint="default" w:ascii="仿宋_GB2312" w:hAnsi="宋体" w:eastAsia="仿宋_GB2312" w:cs="仿宋_GB2312"/>
                <w:i w:val="0"/>
                <w:color w:val="000000"/>
                <w:kern w:val="0"/>
                <w:sz w:val="28"/>
                <w:szCs w:val="28"/>
                <w:u w:val="none"/>
                <w:lang w:val="en-US" w:eastAsia="zh-CN" w:bidi="ar"/>
              </w:rPr>
              <w:t>人数</w:t>
            </w:r>
          </w:p>
        </w:tc>
        <w:tc>
          <w:tcPr>
            <w:tcW w:w="4244"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本期完成见习人数</w:t>
            </w:r>
          </w:p>
        </w:tc>
        <w:tc>
          <w:tcPr>
            <w:tcW w:w="11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本期非正常结束见习人数</w:t>
            </w:r>
          </w:p>
        </w:tc>
        <w:tc>
          <w:tcPr>
            <w:tcW w:w="10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本期末实有在岗见习人数</w:t>
            </w:r>
          </w:p>
        </w:tc>
        <w:tc>
          <w:tcPr>
            <w:tcW w:w="1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本年累计各级财政实际拨付的见习补贴资金数</w:t>
            </w:r>
          </w:p>
        </w:tc>
      </w:tr>
      <w:tr>
        <w:tblPrEx>
          <w:tblCellMar>
            <w:top w:w="0" w:type="dxa"/>
            <w:left w:w="0" w:type="dxa"/>
            <w:bottom w:w="0" w:type="dxa"/>
            <w:right w:w="0" w:type="dxa"/>
          </w:tblCellMar>
        </w:tblPrEx>
        <w:trPr>
          <w:trHeight w:val="1238" w:hRule="atLeast"/>
        </w:trPr>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本期新增见习单位数量</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4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本期新增见习岗位数量</w:t>
            </w: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2139"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85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2213"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被见习单位留用人数</w:t>
            </w:r>
          </w:p>
        </w:tc>
        <w:tc>
          <w:tcPr>
            <w:tcW w:w="11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其他方式就业人数</w:t>
            </w: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1825" w:hRule="atLeast"/>
        </w:trPr>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4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6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离校未就业高校毕业生人数</w:t>
            </w:r>
          </w:p>
        </w:tc>
        <w:tc>
          <w:tcPr>
            <w:tcW w:w="85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79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离校未就业高校毕业生人数</w:t>
            </w:r>
          </w:p>
        </w:tc>
        <w:tc>
          <w:tcPr>
            <w:tcW w:w="11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653" w:hRule="atLeast"/>
        </w:trPr>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8"/>
                <w:szCs w:val="28"/>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w:t>
            </w:r>
          </w:p>
        </w:tc>
        <w:tc>
          <w:tcPr>
            <w:tcW w:w="9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w:t>
            </w:r>
          </w:p>
        </w:tc>
        <w:tc>
          <w:tcPr>
            <w:tcW w:w="142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5</w:t>
            </w:r>
          </w:p>
        </w:tc>
        <w:tc>
          <w:tcPr>
            <w:tcW w:w="6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7</w:t>
            </w:r>
          </w:p>
        </w:tc>
        <w:tc>
          <w:tcPr>
            <w:tcW w:w="8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8</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9</w:t>
            </w:r>
          </w:p>
        </w:tc>
        <w:tc>
          <w:tcPr>
            <w:tcW w:w="142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11</w:t>
            </w:r>
          </w:p>
        </w:tc>
        <w:tc>
          <w:tcPr>
            <w:tcW w:w="11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12</w:t>
            </w:r>
          </w:p>
        </w:tc>
        <w:tc>
          <w:tcPr>
            <w:tcW w:w="107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13</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14</w:t>
            </w:r>
          </w:p>
        </w:tc>
      </w:tr>
      <w:tr>
        <w:tblPrEx>
          <w:tblCellMar>
            <w:top w:w="0" w:type="dxa"/>
            <w:left w:w="0" w:type="dxa"/>
            <w:bottom w:w="0" w:type="dxa"/>
            <w:right w:w="0" w:type="dxa"/>
          </w:tblCellMar>
        </w:tblPrEx>
        <w:trPr>
          <w:trHeight w:val="736" w:hRule="atLeast"/>
        </w:trPr>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c>
          <w:tcPr>
            <w:tcW w:w="10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3" w:hRule="atLeast"/>
        </w:trPr>
        <w:tc>
          <w:tcPr>
            <w:tcW w:w="107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lang w:val="en-US"/>
              </w:rPr>
            </w:pPr>
            <w:r>
              <w:rPr>
                <w:rFonts w:hint="default" w:ascii="仿宋_GB2312" w:hAnsi="宋体" w:eastAsia="仿宋_GB2312" w:cs="仿宋_GB2312"/>
                <w:i w:val="0"/>
                <w:color w:val="000000"/>
                <w:kern w:val="0"/>
                <w:sz w:val="28"/>
                <w:szCs w:val="28"/>
                <w:u w:val="none"/>
                <w:lang w:val="en-US" w:eastAsia="zh-CN" w:bidi="ar"/>
              </w:rPr>
              <w:t>填</w:t>
            </w:r>
            <w:r>
              <w:rPr>
                <w:rFonts w:hint="eastAsia" w:ascii="仿宋_GB2312" w:hAnsi="宋体" w:eastAsia="仿宋_GB2312" w:cs="仿宋_GB2312"/>
                <w:i w:val="0"/>
                <w:color w:val="000000"/>
                <w:kern w:val="0"/>
                <w:sz w:val="28"/>
                <w:szCs w:val="28"/>
                <w:u w:val="none"/>
                <w:lang w:val="en-US" w:eastAsia="zh-CN" w:bidi="ar"/>
              </w:rPr>
              <w:t xml:space="preserve">报人： </w:t>
            </w:r>
          </w:p>
        </w:tc>
        <w:tc>
          <w:tcPr>
            <w:tcW w:w="774"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967" w:type="dxa"/>
            <w:tcBorders>
              <w:top w:val="nil"/>
              <w:left w:val="nil"/>
              <w:bottom w:val="nil"/>
              <w:right w:val="nil"/>
            </w:tcBorders>
            <w:noWrap w:val="0"/>
            <w:tcMar>
              <w:top w:w="15" w:type="dxa"/>
              <w:left w:w="15" w:type="dxa"/>
              <w:right w:w="15" w:type="dxa"/>
            </w:tcMar>
            <w:vAlign w:val="center"/>
          </w:tcPr>
          <w:p>
            <w:pP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 xml:space="preserve">   </w:t>
            </w:r>
          </w:p>
        </w:tc>
        <w:tc>
          <w:tcPr>
            <w:tcW w:w="992"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142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填报时间：</w:t>
            </w:r>
          </w:p>
        </w:tc>
        <w:tc>
          <w:tcPr>
            <w:tcW w:w="1060"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695"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1444"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85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791"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2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联系电话：</w:t>
            </w:r>
          </w:p>
        </w:tc>
        <w:tc>
          <w:tcPr>
            <w:tcW w:w="1181"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101"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076" w:type="dxa"/>
            <w:tcBorders>
              <w:top w:val="nil"/>
              <w:left w:val="nil"/>
              <w:bottom w:val="nil"/>
              <w:right w:val="nil"/>
            </w:tcBorders>
            <w:noWrap w:val="0"/>
            <w:tcMar>
              <w:top w:w="15" w:type="dxa"/>
              <w:left w:w="15" w:type="dxa"/>
              <w:right w:w="15" w:type="dxa"/>
            </w:tcMar>
            <w:vAlign w:val="center"/>
          </w:tcPr>
          <w:p>
            <w:pPr>
              <w:rPr>
                <w:rFonts w:hint="default" w:ascii="仿宋_GB2312" w:hAnsi="宋体" w:eastAsia="仿宋_GB2312" w:cs="仿宋_GB2312"/>
                <w:i w:val="0"/>
                <w:color w:val="000000"/>
                <w:sz w:val="28"/>
                <w:szCs w:val="28"/>
                <w:u w:val="none"/>
              </w:rPr>
            </w:pPr>
          </w:p>
        </w:tc>
        <w:tc>
          <w:tcPr>
            <w:tcW w:w="1211"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8"/>
                <w:szCs w:val="28"/>
                <w:u w:val="none"/>
              </w:rPr>
            </w:pPr>
          </w:p>
        </w:tc>
      </w:tr>
    </w:tbl>
    <w:tbl>
      <w:tblPr>
        <w:tblStyle w:val="7"/>
        <w:tblpPr w:leftFromText="180" w:rightFromText="180" w:vertAnchor="text" w:tblpX="15506" w:tblpY="8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58" w:type="dxa"/>
            <w:noWrap w:val="0"/>
            <w:vAlign w:val="top"/>
          </w:tcPr>
          <w:p>
            <w:pPr>
              <w:pStyle w:val="5"/>
              <w:widowControl/>
              <w:spacing w:beforeAutospacing="0" w:afterAutospacing="0" w:line="540" w:lineRule="atLeast"/>
              <w:ind w:right="120"/>
              <w:jc w:val="center"/>
              <w:rPr>
                <w:rFonts w:hint="eastAsia" w:ascii="华文中宋" w:hAnsi="华文中宋" w:eastAsia="华文中宋" w:cs="华文中宋"/>
                <w:i w:val="0"/>
                <w:color w:val="000000"/>
                <w:kern w:val="0"/>
                <w:sz w:val="44"/>
                <w:szCs w:val="44"/>
                <w:u w:val="none"/>
                <w:vertAlign w:val="baseline"/>
                <w:lang w:val="en-US" w:eastAsia="zh-CN" w:bidi="ar"/>
              </w:rPr>
            </w:pPr>
          </w:p>
        </w:tc>
      </w:tr>
    </w:tbl>
    <w:p>
      <w:pPr>
        <w:pStyle w:val="5"/>
        <w:widowControl/>
        <w:shd w:val="clear" w:color="auto" w:fill="FFFFFF"/>
        <w:spacing w:beforeAutospacing="0" w:afterAutospacing="0" w:line="540" w:lineRule="atLeast"/>
        <w:ind w:right="120"/>
        <w:jc w:val="center"/>
        <w:rPr>
          <w:rFonts w:hint="eastAsia" w:ascii="华文中宋" w:hAnsi="华文中宋" w:eastAsia="华文中宋" w:cs="华文中宋"/>
          <w:i w:val="0"/>
          <w:color w:val="000000"/>
          <w:kern w:val="0"/>
          <w:sz w:val="44"/>
          <w:szCs w:val="44"/>
          <w:u w:val="none"/>
          <w:lang w:val="en-US" w:eastAsia="zh-CN" w:bidi="ar"/>
        </w:rPr>
      </w:pPr>
      <w:r>
        <w:rPr>
          <w:rFonts w:hint="eastAsia" w:ascii="华文中宋" w:hAnsi="华文中宋" w:eastAsia="华文中宋" w:cs="华文中宋"/>
          <w:i w:val="0"/>
          <w:color w:val="000000"/>
          <w:kern w:val="0"/>
          <w:sz w:val="44"/>
          <w:szCs w:val="44"/>
          <w:u w:val="none"/>
          <w:lang w:val="en-US" w:eastAsia="zh-CN" w:bidi="ar"/>
        </w:rPr>
        <w:t>青年就业见习工作情况汇总表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right"/>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单位：个、人、万</w:t>
      </w:r>
    </w:p>
    <w:p>
      <w:pPr>
        <w:spacing w:line="596" w:lineRule="exact"/>
        <w:textAlignment w:val="top"/>
        <w:rPr>
          <w:rFonts w:hint="eastAsia" w:ascii="仿宋_GB2312"/>
        </w:rPr>
        <w:sectPr>
          <w:headerReference r:id="rId4" w:type="default"/>
          <w:footerReference r:id="rId5" w:type="default"/>
          <w:footerReference r:id="rId6" w:type="even"/>
          <w:pgSz w:w="16838" w:h="11906" w:orient="landscape"/>
          <w:pgMar w:top="1588" w:right="2098" w:bottom="1418" w:left="1588" w:header="851" w:footer="1361" w:gutter="0"/>
          <w:pgNumType w:fmt="numberInDash"/>
          <w:cols w:space="720" w:num="1"/>
          <w:docGrid w:type="linesAndChars" w:linePitch="596" w:charSpace="-439"/>
        </w:sectPr>
      </w:pPr>
    </w:p>
    <w:p>
      <w:pPr>
        <w:pStyle w:val="5"/>
        <w:widowControl/>
        <w:shd w:val="clear" w:color="auto" w:fill="FFFFFF"/>
        <w:spacing w:beforeAutospacing="0" w:afterAutospacing="0" w:line="540" w:lineRule="atLeast"/>
        <w:ind w:right="12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填报说明：</w:t>
      </w:r>
    </w:p>
    <w:p>
      <w:pPr>
        <w:pStyle w:val="5"/>
        <w:widowControl/>
        <w:numPr>
          <w:ilvl w:val="0"/>
          <w:numId w:val="1"/>
        </w:numPr>
        <w:shd w:val="clear" w:color="auto" w:fill="FFFFFF"/>
        <w:spacing w:beforeAutospacing="0" w:afterAutospacing="0" w:line="540" w:lineRule="atLeast"/>
        <w:ind w:right="12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本表于每月5日内上报，遇节假日顺延。</w:t>
      </w:r>
    </w:p>
    <w:p>
      <w:pPr>
        <w:pStyle w:val="5"/>
        <w:widowControl/>
        <w:numPr>
          <w:ilvl w:val="0"/>
          <w:numId w:val="1"/>
        </w:numPr>
        <w:shd w:val="clear" w:color="auto" w:fill="FFFFFF"/>
        <w:spacing w:beforeAutospacing="0" w:afterAutospacing="0" w:line="540" w:lineRule="atLeast"/>
        <w:ind w:left="0" w:leftChars="0" w:right="120" w:rightChars="0" w:firstLine="0" w:firstLineChars="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指标8“本期完成见习人数”：是指统计周期内，按照见习协议的规定，如期完成就业见习的人数；以及见习期虽未满，但提前被见习单位留用的人数。（见习期内，因见习人员个人原因等提前结束见习的人员数不算在内）</w:t>
      </w:r>
    </w:p>
    <w:p>
      <w:pPr>
        <w:pStyle w:val="5"/>
        <w:widowControl/>
        <w:numPr>
          <w:ilvl w:val="0"/>
          <w:numId w:val="0"/>
        </w:numPr>
        <w:shd w:val="clear" w:color="auto" w:fill="FFFFFF"/>
        <w:spacing w:beforeAutospacing="0" w:afterAutospacing="0" w:line="540" w:lineRule="atLeast"/>
        <w:ind w:leftChars="0" w:right="120" w:rightChars="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3.指标12“本期非正常结束见习人数”：是指统计周期内，见习期未满，因个人选择或见习单位变动等原因，未按照见习协议规定提前结束见习，且未被留用的人员数量。</w:t>
      </w:r>
    </w:p>
    <w:p>
      <w:pPr>
        <w:pStyle w:val="5"/>
        <w:widowControl/>
        <w:shd w:val="clear" w:color="auto" w:fill="FFFFFF"/>
        <w:spacing w:beforeAutospacing="0" w:afterAutospacing="0" w:line="540" w:lineRule="atLeast"/>
        <w:ind w:right="12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4.指标11“其他方式就业人数”：是指见习期满后除被见习单位留用外，通过见习单位或公共就业人才服务机构推荐、个人自主择业等方式实现就业的人数。</w:t>
      </w:r>
    </w:p>
    <w:p>
      <w:pPr>
        <w:pStyle w:val="5"/>
        <w:widowControl/>
        <w:shd w:val="clear" w:color="auto" w:fill="FFFFFF"/>
        <w:spacing w:beforeAutospacing="0" w:afterAutospacing="0" w:line="540" w:lineRule="atLeast"/>
        <w:ind w:right="12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5.指标14“本年累计各级财政实际拨付的见习补贴资金数”：是指省、市、县级财政实际拨付的见习补贴资金数，包括分配拨付中央财政下达的就业补助资金中用于见习补贴的部分。</w:t>
      </w:r>
    </w:p>
    <w:p>
      <w:pPr>
        <w:pStyle w:val="5"/>
        <w:widowControl/>
        <w:shd w:val="clear" w:color="auto" w:fill="FFFFFF"/>
        <w:spacing w:beforeAutospacing="0" w:afterAutospacing="0" w:line="540" w:lineRule="atLeast"/>
        <w:ind w:right="120"/>
        <w:jc w:val="both"/>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6.指标中的“本期”，是指统计周期当期实有情况，不与上期数据累积。</w:t>
      </w:r>
    </w:p>
    <w:p>
      <w:pPr>
        <w:pStyle w:val="5"/>
        <w:widowControl/>
        <w:shd w:val="clear" w:color="auto" w:fill="FFFFFF"/>
        <w:spacing w:beforeAutospacing="0" w:afterAutospacing="0" w:line="540" w:lineRule="atLeast"/>
        <w:ind w:right="120"/>
        <w:jc w:val="both"/>
        <w:textAlignment w:val="top"/>
        <w:rPr>
          <w:rFonts w:hint="eastAsia" w:ascii="仿宋_GB2312"/>
        </w:rPr>
        <w:sectPr>
          <w:pgSz w:w="11906" w:h="16838"/>
          <w:pgMar w:top="2098" w:right="1418" w:bottom="1587" w:left="1588" w:header="851" w:footer="1361" w:gutter="0"/>
          <w:pgNumType w:fmt="numberInDash"/>
          <w:cols w:space="720" w:num="1"/>
          <w:docGrid w:type="linesAndChars" w:linePitch="596" w:charSpace="-439"/>
        </w:sectPr>
      </w:pPr>
      <w:r>
        <w:rPr>
          <w:rFonts w:hint="eastAsia" w:ascii="仿宋_GB2312" w:hAnsi="宋体" w:eastAsia="仿宋_GB2312" w:cs="仿宋_GB2312"/>
          <w:i w:val="0"/>
          <w:color w:val="000000"/>
          <w:kern w:val="0"/>
          <w:sz w:val="28"/>
          <w:szCs w:val="28"/>
          <w:u w:val="none"/>
          <w:lang w:val="en-US" w:eastAsia="zh-CN" w:bidi="ar"/>
        </w:rPr>
        <w:t>7.逻辑关系：1≥2，3≥4,5≥6≥7,8≥9+11,9≥10</w:t>
      </w:r>
    </w:p>
    <w:p>
      <w:pPr>
        <w:spacing w:line="596" w:lineRule="exact"/>
        <w:textAlignment w:val="top"/>
        <w:rPr>
          <w:rFonts w:hint="eastAsia" w:ascii="仿宋_GB2312"/>
        </w:rPr>
      </w:pPr>
      <w:r>
        <w:rPr>
          <w:rFonts w:hint="eastAsia" w:ascii="仿宋_GB2312"/>
        </w:rPr>
        <mc:AlternateContent>
          <mc:Choice Requires="wps">
            <w:drawing>
              <wp:anchor distT="0" distB="0" distL="114300" distR="114300" simplePos="0" relativeHeight="25166643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643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kp/n/XAAAADAEAAA8AAAAA&#10;AAAAAQAgAAAAIgAAAGRycy9kb3ducmV2LnhtbFBLAQIUABQAAAAIAIdO4kB/xpedowEAAC8DAAAO&#10;AAAAAAAAAAEAIAAAACYBAABkcnMvZTJvRG9jLnhtbFBLBQYAAAAABgAGAFkBAAA7BQ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438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6" name="文本框 6"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hint="eastAsia" w:ascii="方正仿宋简体" w:eastAsia="方正仿宋简体"/>
                                <w:sz w:val="31"/>
                                <w:szCs w:val="31"/>
                              </w:rPr>
                              <w:t>2020年8月20日</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438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6N/fNkAAAANAQAADwAA&#10;AAAAAAABACAAAAAiAAAAZHJzL2Rvd25yZXYueG1sUEsBAhQAFAAAAAgAh07iQBreeuOjAQAALwMA&#10;AA4AAAAAAAAAAQAgAAAAKAEAAGRycy9lMm9Eb2MueG1sUEsFBgAAAAAGAAYAWQEAAD0FA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hint="eastAsia" w:ascii="方正仿宋简体" w:eastAsia="方正仿宋简体"/>
                          <w:sz w:val="31"/>
                          <w:szCs w:val="31"/>
                        </w:rPr>
                        <w:t>2020年8月20日</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336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 name="直接连接符 1"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336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lSXodcAAAAMAQAADwAA&#10;AAAAAAABACAAAAAiAAAAZHJzL2Rvd25yZXYueG1sUEsBAhQAFAAAAAgAh07iQCp54tPeAQAAogMA&#10;AA4AAAAAAAAAAQAgAAAAJgEAAGRycy9lMm9Eb2MueG1sUEsFBgAAAAAGAAYAWQEAAHYFAAAAAA==&#10;">
                <v:path arrowok="t"/>
                <v:fill on="f" focussize="0,0"/>
                <v:stroke weight="1pt"/>
                <v:imagedata o:title=""/>
                <o:lock v:ext="edit"/>
                <w10:wrap type="topAndBottom"/>
                <w10:anchorlock/>
              </v:line>
            </w:pict>
          </mc:Fallback>
        </mc:AlternateContent>
      </w: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ge">
                  <wp:posOffset>8811260</wp:posOffset>
                </wp:positionV>
                <wp:extent cx="5579745" cy="0"/>
                <wp:effectExtent l="0" t="0" r="0" b="0"/>
                <wp:wrapTopAndBottom/>
                <wp:docPr id="7" name="直接连接符 7"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93.8pt;height:0pt;width:439.35pt;mso-position-vertical-relative:page;mso-wrap-distance-bottom:0pt;mso-wrap-distance-top:0pt;visibility:hidden;z-index:251661312;mso-width-relative:page;mso-height-relative:page;" filled="f" stroked="t" coordsize="21600,21600" o:gfxdata="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gbOI1QAAAAoBAAAPAAAA&#10;AAAAAAEAIAAAACIAAABkcnMvZG93bnJldi54bWxQSwECFAAUAAAACACHTuJA3FlxAt8BAACiAwAA&#10;DgAAAAAAAAABACAAAAAkAQAAZHJzL2Uyb0RvYy54bWxQSwUGAAAAAAYABgBZAQAAdQUAAAAA&#10;">
                <v:path arrowok="t"/>
                <v:fill on="f" focussize="0,0"/>
                <v:stroke weight="1pt"/>
                <v:imagedata o:title=""/>
                <o:lock v:ext="edit" aspectratio="f"/>
                <w10:wrap type="topAndBottom"/>
                <w10:anchorlock/>
              </v:line>
            </w:pict>
          </mc:Fallback>
        </mc:AlternateContent>
      </w:r>
      <w:r>
        <w:rPr>
          <w:rFonts w:hint="eastAsia" w:ascii="仿宋_GB2312"/>
        </w:rPr>
        <mc:AlternateContent>
          <mc:Choice Requires="wps">
            <w:drawing>
              <wp:anchor distT="0" distB="0" distL="114300" distR="114300" simplePos="0" relativeHeight="251662336" behindDoc="0" locked="1" layoutInCell="1" hidden="1" allowOverlap="1">
                <wp:simplePos x="0" y="0"/>
                <wp:positionH relativeFrom="margin">
                  <wp:posOffset>201930</wp:posOffset>
                </wp:positionH>
                <wp:positionV relativeFrom="page">
                  <wp:posOffset>8761730</wp:posOffset>
                </wp:positionV>
                <wp:extent cx="5200650" cy="360680"/>
                <wp:effectExtent l="0" t="0" r="0" b="0"/>
                <wp:wrapTopAndBottom/>
                <wp:docPr id="8" name="文本框 8" hidden="1"/>
                <wp:cNvGraphicFramePr/>
                <a:graphic xmlns:a="http://schemas.openxmlformats.org/drawingml/2006/main">
                  <a:graphicData uri="http://schemas.microsoft.com/office/word/2010/wordprocessingShape">
                    <wps:wsp>
                      <wps:cNvSpPr txBox="1"/>
                      <wps:spPr>
                        <a:xfrm>
                          <a:off x="0" y="0"/>
                          <a:ext cx="5200650" cy="360680"/>
                        </a:xfrm>
                        <a:prstGeom prst="rect">
                          <a:avLst/>
                        </a:prstGeom>
                        <a:noFill/>
                        <a:ln>
                          <a:noFill/>
                        </a:ln>
                      </wps:spPr>
                      <wps:txbx>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fldChar w:fldCharType="end"/>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689.9pt;height:28.4pt;width:409.5pt;mso-position-horizontal-relative:margin;mso-position-vertical-relative:page;mso-wrap-distance-bottom:0pt;mso-wrap-distance-top:0pt;visibility:hidden;z-index:251662336;mso-width-relative:page;mso-height-relative:page;" filled="f" stroked="f" coordsize="21600,21600" o:gfxdata="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8zco3XAAAADAEAAA8AAAAAAAAA&#10;AQAgAAAAIgAAAGRycy9kb3ducmV2LnhtbFBLAQIUABQAAAAIAIdO4kC5XxhuoAEAAC8DAAAOAAAA&#10;AAAAAAEAIAAAACYBAABkcnMvZTJvRG9jLnhtbFBLBQYAAAAABgAGAFkBAAA4BQAAAAA=&#10;">
                <v:path/>
                <v:fill on="f" focussize="0,0"/>
                <v:stroke on="f"/>
                <v:imagedata o:title=""/>
                <o:lock v:ext="edit" aspectratio="f"/>
                <v:textbox inset="0mm,0mm,0mm,0mm">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fldChar w:fldCharType="end"/>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v:textbox>
                <w10:wrap type="topAndBottom"/>
                <w10:anchorlock/>
              </v:shape>
            </w:pict>
          </mc:Fallback>
        </mc:AlternateContent>
      </w:r>
    </w:p>
    <w:p>
      <w:bookmarkStart w:id="0" w:name="_GoBack"/>
      <w:bookmarkEnd w:id="0"/>
    </w:p>
    <w:sectPr>
      <w:footerReference r:id="rId7" w:type="default"/>
      <w:pgSz w:w="11906" w:h="16838"/>
      <w:pgMar w:top="2098" w:right="1418" w:bottom="1588" w:left="1588" w:header="851" w:footer="1361" w:gutter="0"/>
      <w:pgNumType w:fmt="numberInDash"/>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20" w:rightChars="100"/>
                            <w:jc w:val="center"/>
                            <w:rPr>
                              <w:rStyle w:val="9"/>
                              <w:rFonts w:hint="eastAsia" w:ascii="宋体" w:hAnsi="宋体" w:eastAsia="宋体"/>
                              <w:sz w:val="28"/>
                              <w:szCs w:val="28"/>
                            </w:rPr>
                          </w:pPr>
                          <w:r>
                            <w:rPr>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9"/>
                              <w:rFonts w:ascii="宋体" w:hAnsi="宋体" w:eastAsia="宋体"/>
                              <w:sz w:val="28"/>
                              <w:szCs w:val="28"/>
                            </w:rPr>
                            <w:t>1</w:t>
                          </w:r>
                          <w:r>
                            <w:rPr>
                              <w:rFonts w:hint="eastAsia" w:ascii="宋体" w:hAnsi="宋体" w:eastAsia="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3"/>
                      <w:ind w:right="320" w:rightChars="100"/>
                      <w:jc w:val="center"/>
                      <w:rPr>
                        <w:rStyle w:val="9"/>
                        <w:rFonts w:hint="eastAsia" w:ascii="宋体" w:hAnsi="宋体" w:eastAsia="宋体"/>
                        <w:sz w:val="28"/>
                        <w:szCs w:val="28"/>
                      </w:rPr>
                    </w:pPr>
                    <w:r>
                      <w:rPr>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9"/>
                        <w:rFonts w:ascii="宋体" w:hAnsi="宋体" w:eastAsia="宋体"/>
                        <w:sz w:val="28"/>
                        <w:szCs w:val="28"/>
                      </w:rPr>
                      <w:t>1</w:t>
                    </w:r>
                    <w:r>
                      <w:rPr>
                        <w:rFonts w:hint="eastAsia" w:ascii="宋体" w:hAnsi="宋体" w:eastAsia="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9"/>
        <w:rFonts w:hint="eastAsia" w:ascii="宋体" w:hAnsi="宋体" w:eastAsia="宋体"/>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3"/>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95B58"/>
    <w:multiLevelType w:val="singleLevel"/>
    <w:tmpl w:val="FC095B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542D3"/>
    <w:rsid w:val="5685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2020-09-01T02:19:00Z</dcterms:created>
  <dc:creator>Administrator</dc:creator>
  <cp:lastModifiedBy>Administrator</cp:lastModifiedBy>
  <dcterms:modified xsi:type="dcterms:W3CDTF">2020-09-01T02:19:50Z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